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jc w:val="center"/>
      </w:pPr>
      <w:r>
        <w:rPr>
          <w:rFonts w:ascii="Times New Roman" w:hAnsi="Times New Roman" w:eastAsia="Times New Roman"/>
          <w:b/>
          <w:sz w:val="26"/>
        </w:rPr>
        <w:t>SUPPLY AGREEMENT No. SB-17/2026</w:t>
      </w:r>
    </w:p>
    <w:p>
      <w:pPr>
        <w:tabs>
          <w:tab w:pos="9638" w:val="right"/>
        </w:tabs>
        <w:spacing w:after="200" w:before="0"/>
        <w:jc w:val="left"/>
      </w:pPr>
      <w:r>
        <w:rPr>
          <w:rFonts w:ascii="Times New Roman" w:hAnsi="Times New Roman" w:eastAsia="Times New Roman"/>
          <w:b w:val="0"/>
          <w:sz w:val="24"/>
        </w:rPr>
      </w:r>
      <w:r>
        <w:rPr>
          <w:rFonts w:ascii="Times New Roman" w:hAnsi="Times New Roman" w:eastAsia="Times New Roman"/>
          <w:b w:val="0"/>
          <w:sz w:val="24"/>
        </w:rPr>
        <w:t>Kyiv</w:t>
        <w:tab/>
        <w:t>October 5, 2026</w:t>
      </w:r>
    </w:p>
    <w:p>
      <w:pPr>
        <w:spacing w:after="60" w:before="0"/>
        <w:ind w:firstLine="709"/>
        <w:jc w:val="both"/>
      </w:pPr>
      <w:r>
        <w:rPr>
          <w:rFonts w:ascii="Times New Roman" w:hAnsi="Times New Roman" w:eastAsia="Times New Roman"/>
          <w:b w:val="0"/>
          <w:sz w:val="24"/>
        </w:rPr>
        <w:t>SOSNOVYI BIR MEBLI LIMITED LIABILITY COMPANY (the “Supplier”), represented by its Director Taras Bohdanovych Oliinyk, acting under the Charter, of the one part, and LISOVYI DVIR LIMITED LIABILITY COMPANY (the “Buyer”), represented by its Director Olena Petrivna Koval, acting under the Charter, of the other part (together the “Parties” and each a “Party”), have concluded this supply agreement (the “Agreement”) as follows:</w:t>
      </w:r>
    </w:p>
    <w:p>
      <w:pPr>
        <w:keepNext/>
        <w:spacing w:after="80" w:before="160"/>
        <w:jc w:val="center"/>
      </w:pPr>
      <w:r>
        <w:rPr>
          <w:rFonts w:ascii="Times New Roman" w:hAnsi="Times New Roman" w:eastAsia="Times New Roman"/>
          <w:b/>
          <w:sz w:val="24"/>
        </w:rPr>
        <w:t>1. SUBJECT OF THE AGREEMENT</w:t>
      </w:r>
    </w:p>
    <w:p>
      <w:pPr>
        <w:spacing w:after="60" w:before="0"/>
        <w:ind w:firstLine="709"/>
        <w:jc w:val="both"/>
      </w:pPr>
      <w:r>
        <w:rPr>
          <w:rFonts w:ascii="Times New Roman" w:hAnsi="Times New Roman" w:eastAsia="Times New Roman"/>
          <w:b w:val="0"/>
          <w:sz w:val="24"/>
        </w:rPr>
        <w:t>1.1. The Supplier undertakes to transfer goods (the “Goods”) into the ownership of the Buyer, and the Buyer undertakes to accept the Goods and pay for them on the terms of this Agreement.</w:t>
      </w:r>
    </w:p>
    <w:p>
      <w:pPr>
        <w:spacing w:after="60" w:before="0"/>
        <w:ind w:firstLine="709"/>
        <w:jc w:val="both"/>
      </w:pPr>
      <w:r>
        <w:rPr>
          <w:rFonts w:ascii="Times New Roman" w:hAnsi="Times New Roman" w:eastAsia="Times New Roman"/>
          <w:b w:val="0"/>
          <w:sz w:val="24"/>
        </w:rPr>
        <w:t>1.2. The name, quantity, price and value of the Goods are set out in the Specification (Annex No. 1), which forms an integral part of the Agreement.</w:t>
      </w:r>
    </w:p>
    <w:p>
      <w:pPr>
        <w:spacing w:after="60" w:before="0"/>
        <w:ind w:firstLine="709"/>
        <w:jc w:val="both"/>
      </w:pPr>
      <w:r>
        <w:rPr>
          <w:rFonts w:ascii="Times New Roman" w:hAnsi="Times New Roman" w:eastAsia="Times New Roman"/>
          <w:b w:val="0"/>
          <w:sz w:val="24"/>
        </w:rPr>
        <w:t>1.3. The Supplier warrants that it owns the Goods, that the Goods are not under arrest or pledge, and that they are free from any third-party rights.</w:t>
      </w:r>
    </w:p>
    <w:p>
      <w:pPr>
        <w:keepNext/>
        <w:spacing w:after="80" w:before="160"/>
        <w:jc w:val="center"/>
      </w:pPr>
      <w:r>
        <w:rPr>
          <w:rFonts w:ascii="Times New Roman" w:hAnsi="Times New Roman" w:eastAsia="Times New Roman"/>
          <w:b/>
          <w:sz w:val="24"/>
        </w:rPr>
        <w:t>2. PRICE AND TOTAL AMOUNT OF THE AGREEMENT</w:t>
      </w:r>
    </w:p>
    <w:p>
      <w:pPr>
        <w:spacing w:after="60" w:before="0"/>
        <w:ind w:firstLine="709"/>
        <w:jc w:val="both"/>
      </w:pPr>
      <w:r>
        <w:rPr>
          <w:rFonts w:ascii="Times New Roman" w:hAnsi="Times New Roman" w:eastAsia="Times New Roman"/>
          <w:b w:val="0"/>
          <w:sz w:val="24"/>
        </w:rPr>
        <w:t>2.1. The total amount of the Agreement is UAH 156,840.00 (one hundred fifty-six thousand eight hundred forty hryvnias 00 kopiykas), including 20% VAT of UAH 26,140.00 (twenty-six thousand one hundred forty hryvnias 00 kopiykas).</w:t>
      </w:r>
    </w:p>
    <w:p>
      <w:pPr>
        <w:spacing w:after="60" w:before="0"/>
        <w:ind w:firstLine="709"/>
        <w:jc w:val="both"/>
      </w:pPr>
      <w:r>
        <w:rPr>
          <w:rFonts w:ascii="Times New Roman" w:hAnsi="Times New Roman" w:eastAsia="Times New Roman"/>
          <w:b w:val="0"/>
          <w:sz w:val="24"/>
        </w:rPr>
        <w:t>2.2. The price of the Goods includes packaging, labeling, loading and delivery to the place of delivery and does not change during the term of the Agreement.</w:t>
      </w:r>
    </w:p>
    <w:p>
      <w:pPr>
        <w:keepNext/>
        <w:spacing w:after="80" w:before="160"/>
        <w:jc w:val="center"/>
      </w:pPr>
      <w:r>
        <w:rPr>
          <w:rFonts w:ascii="Times New Roman" w:hAnsi="Times New Roman" w:eastAsia="Times New Roman"/>
          <w:b/>
          <w:sz w:val="24"/>
        </w:rPr>
        <w:t>3. PAYMENT TERMS</w:t>
      </w:r>
    </w:p>
    <w:p>
      <w:pPr>
        <w:spacing w:after="60" w:before="0"/>
        <w:ind w:firstLine="709"/>
        <w:jc w:val="both"/>
      </w:pPr>
      <w:r>
        <w:rPr>
          <w:rFonts w:ascii="Times New Roman" w:hAnsi="Times New Roman" w:eastAsia="Times New Roman"/>
          <w:b w:val="0"/>
          <w:sz w:val="24"/>
        </w:rPr>
        <w:t>3.1. The Buyer makes an advance payment of 30 (thirty) percent of the total amount of the Agreement, which is UAH 47,052.00 (forty-seven thousand fifty-two hryvnias 00 kopiykas), within 5 (five) banking days from the date the Agreement is signed, against the Supplier’s invoice.</w:t>
      </w:r>
    </w:p>
    <w:p>
      <w:pPr>
        <w:spacing w:after="60" w:before="0"/>
        <w:ind w:firstLine="709"/>
        <w:jc w:val="both"/>
      </w:pPr>
      <w:r>
        <w:rPr>
          <w:rFonts w:ascii="Times New Roman" w:hAnsi="Times New Roman" w:eastAsia="Times New Roman"/>
          <w:b w:val="0"/>
          <w:sz w:val="24"/>
        </w:rPr>
        <w:t>3.2. The Buyer pays the remaining value of the Goods of UAH 109,788.00 (one hundred nine thousand seven hundred eighty-eight hryvnias 00 kopiykas) within 10 (ten) banking days from the date the Parties sign the delivery note.</w:t>
      </w:r>
    </w:p>
    <w:p>
      <w:pPr>
        <w:spacing w:after="60" w:before="0"/>
        <w:ind w:firstLine="709"/>
        <w:jc w:val="both"/>
      </w:pPr>
      <w:r>
        <w:rPr>
          <w:rFonts w:ascii="Times New Roman" w:hAnsi="Times New Roman" w:eastAsia="Times New Roman"/>
          <w:b w:val="0"/>
          <w:sz w:val="24"/>
        </w:rPr>
        <w:t>3.3. Payments are made by bank transfer in the national currency of Ukraine to the Supplier’s current account stated in section 13 of the Agreement. The date of payment is the date the funds are credited to the Supplier’s account.</w:t>
      </w:r>
    </w:p>
    <w:p>
      <w:pPr>
        <w:keepNext/>
        <w:spacing w:after="80" w:before="160"/>
        <w:jc w:val="center"/>
      </w:pPr>
      <w:r>
        <w:rPr>
          <w:rFonts w:ascii="Times New Roman" w:hAnsi="Times New Roman" w:eastAsia="Times New Roman"/>
          <w:b/>
          <w:sz w:val="24"/>
        </w:rPr>
        <w:t>4. TIME, PLACE AND TERMS OF DELIVERY</w:t>
      </w:r>
    </w:p>
    <w:p>
      <w:pPr>
        <w:spacing w:after="60" w:before="0"/>
        <w:ind w:firstLine="709"/>
        <w:jc w:val="both"/>
      </w:pPr>
      <w:r>
        <w:rPr>
          <w:rFonts w:ascii="Times New Roman" w:hAnsi="Times New Roman" w:eastAsia="Times New Roman"/>
          <w:b w:val="0"/>
          <w:sz w:val="24"/>
        </w:rPr>
        <w:t>4.1. The Supplier delivers the Goods within 21 (twenty-one) calendar days from the date the advance payment is received in its account.</w:t>
      </w:r>
    </w:p>
    <w:p>
      <w:pPr>
        <w:spacing w:after="60" w:before="0"/>
        <w:ind w:firstLine="709"/>
        <w:jc w:val="both"/>
      </w:pPr>
      <w:r>
        <w:rPr>
          <w:rFonts w:ascii="Times New Roman" w:hAnsi="Times New Roman" w:eastAsia="Times New Roman"/>
          <w:b w:val="0"/>
          <w:sz w:val="24"/>
        </w:rPr>
        <w:t>4.2. Place of delivery: 10 Khreshchatyk St., Kyiv, 01001. Delivery is made by the Supplier’s transport and at the Supplier’s expense.</w:t>
      </w:r>
    </w:p>
    <w:p>
      <w:pPr>
        <w:spacing w:after="60" w:before="0"/>
        <w:ind w:firstLine="709"/>
        <w:jc w:val="both"/>
      </w:pPr>
      <w:r>
        <w:rPr>
          <w:rFonts w:ascii="Times New Roman" w:hAnsi="Times New Roman" w:eastAsia="Times New Roman"/>
          <w:b w:val="0"/>
          <w:sz w:val="24"/>
        </w:rPr>
        <w:t>4.3. Ownership of the Goods and the risk of their accidental loss or damage pass to the Buyer when the Parties sign the delivery note.</w:t>
      </w:r>
    </w:p>
    <w:p>
      <w:pPr>
        <w:spacing w:after="60" w:before="0"/>
        <w:ind w:firstLine="709"/>
        <w:jc w:val="both"/>
      </w:pPr>
      <w:r>
        <w:rPr>
          <w:rFonts w:ascii="Times New Roman" w:hAnsi="Times New Roman" w:eastAsia="Times New Roman"/>
          <w:b w:val="0"/>
          <w:sz w:val="24"/>
        </w:rPr>
        <w:t>4.4. Together with the Goods, the Supplier hands over the delivery note, warranty cards and instructions in Ukrainian.</w:t>
      </w:r>
    </w:p>
    <w:p>
      <w:pPr>
        <w:keepNext/>
        <w:spacing w:after="80" w:before="160"/>
        <w:jc w:val="center"/>
      </w:pPr>
      <w:r>
        <w:rPr>
          <w:rFonts w:ascii="Times New Roman" w:hAnsi="Times New Roman" w:eastAsia="Times New Roman"/>
          <w:b/>
          <w:sz w:val="24"/>
        </w:rPr>
        <w:t>5. ACCEPTANCE OF THE GOODS</w:t>
      </w:r>
    </w:p>
    <w:p>
      <w:pPr>
        <w:spacing w:after="60" w:before="0"/>
        <w:ind w:firstLine="709"/>
        <w:jc w:val="both"/>
      </w:pPr>
      <w:r>
        <w:rPr>
          <w:rFonts w:ascii="Times New Roman" w:hAnsi="Times New Roman" w:eastAsia="Times New Roman"/>
          <w:b w:val="0"/>
          <w:sz w:val="24"/>
        </w:rPr>
        <w:t>5.1. The Goods are accepted for quantity and completeness at the moment of handover under the delivery note.</w:t>
      </w:r>
    </w:p>
    <w:p>
      <w:pPr>
        <w:spacing w:after="60" w:before="0"/>
        <w:ind w:firstLine="709"/>
        <w:jc w:val="both"/>
      </w:pPr>
      <w:r>
        <w:rPr>
          <w:rFonts w:ascii="Times New Roman" w:hAnsi="Times New Roman" w:eastAsia="Times New Roman"/>
          <w:b w:val="0"/>
          <w:sz w:val="24"/>
        </w:rPr>
        <w:t>5.2. The Goods are accepted for quality within 5 (five) working days from the date of delivery. If a nonconformity is found, the Parties draw up a report, and the Supplier replaces the Goods at its own expense within 10 (ten) calendar days from the date it receives the report.</w:t>
      </w:r>
    </w:p>
    <w:p>
      <w:pPr>
        <w:keepNext/>
        <w:spacing w:after="80" w:before="160"/>
        <w:jc w:val="center"/>
      </w:pPr>
      <w:r>
        <w:rPr>
          <w:rFonts w:ascii="Times New Roman" w:hAnsi="Times New Roman" w:eastAsia="Times New Roman"/>
          <w:b/>
          <w:sz w:val="24"/>
        </w:rPr>
        <w:t>6. QUALITY WARRANTY</w:t>
      </w:r>
    </w:p>
    <w:p>
      <w:pPr>
        <w:spacing w:after="60" w:before="0"/>
        <w:ind w:firstLine="709"/>
        <w:jc w:val="both"/>
      </w:pPr>
      <w:r>
        <w:rPr>
          <w:rFonts w:ascii="Times New Roman" w:hAnsi="Times New Roman" w:eastAsia="Times New Roman"/>
          <w:b w:val="0"/>
          <w:sz w:val="24"/>
        </w:rPr>
        <w:t>6.1. The quality of the Goods meets the manufacturer’s requirements and applicable standards. The warranty period is 24 (twenty-four) months from the date of delivery of the Goods.</w:t>
      </w:r>
    </w:p>
    <w:p>
      <w:pPr>
        <w:spacing w:after="60" w:before="0"/>
        <w:ind w:firstLine="709"/>
        <w:jc w:val="both"/>
      </w:pPr>
      <w:r>
        <w:rPr>
          <w:rFonts w:ascii="Times New Roman" w:hAnsi="Times New Roman" w:eastAsia="Times New Roman"/>
          <w:b w:val="0"/>
          <w:sz w:val="24"/>
        </w:rPr>
        <w:t>6.2. During the warranty period, the Supplier remedies defects or replaces the Goods at its own expense within 14 (fourteen) calendar days from the date it receives the Buyer’s written demand.</w:t>
      </w:r>
    </w:p>
    <w:p>
      <w:pPr>
        <w:keepNext/>
        <w:spacing w:after="80" w:before="160"/>
        <w:jc w:val="center"/>
      </w:pPr>
      <w:r>
        <w:rPr>
          <w:rFonts w:ascii="Times New Roman" w:hAnsi="Times New Roman" w:eastAsia="Times New Roman"/>
          <w:b/>
          <w:sz w:val="24"/>
        </w:rPr>
        <w:t>7. LIABILITY OF THE PARTIES</w:t>
      </w:r>
    </w:p>
    <w:p>
      <w:pPr>
        <w:spacing w:after="60" w:before="0"/>
        <w:ind w:firstLine="709"/>
        <w:jc w:val="both"/>
      </w:pPr>
      <w:r>
        <w:rPr>
          <w:rFonts w:ascii="Times New Roman" w:hAnsi="Times New Roman" w:eastAsia="Times New Roman"/>
          <w:b w:val="0"/>
          <w:sz w:val="24"/>
        </w:rPr>
        <w:t>7.1. For late delivery, the Supplier pays the Buyer a penalty of 0.1% of the value of the undelivered Goods for each day of delay, but not more than 10% of the value of such Goods.</w:t>
      </w:r>
    </w:p>
    <w:p>
      <w:pPr>
        <w:spacing w:after="60" w:before="0"/>
        <w:ind w:firstLine="709"/>
        <w:jc w:val="both"/>
      </w:pPr>
      <w:r>
        <w:rPr>
          <w:rFonts w:ascii="Times New Roman" w:hAnsi="Times New Roman" w:eastAsia="Times New Roman"/>
          <w:b w:val="0"/>
          <w:sz w:val="24"/>
        </w:rPr>
        <w:t>7.2. For late payment, the Buyer pays the Supplier a penalty equal to twice the discount rate of the National Bank of Ukraine in effect during the period of delay, calculated on the amount owed for each day of delay.</w:t>
      </w:r>
    </w:p>
    <w:p>
      <w:pPr>
        <w:spacing w:after="60" w:before="0"/>
        <w:ind w:firstLine="709"/>
        <w:jc w:val="both"/>
      </w:pPr>
      <w:r>
        <w:rPr>
          <w:rFonts w:ascii="Times New Roman" w:hAnsi="Times New Roman" w:eastAsia="Times New Roman"/>
          <w:b w:val="0"/>
          <w:sz w:val="24"/>
        </w:rPr>
        <w:t>7.3. Payment of a penalty does not release a Party from performing its obligations under the Agreement.</w:t>
      </w:r>
    </w:p>
    <w:p>
      <w:pPr>
        <w:spacing w:after="60" w:before="0"/>
        <w:ind w:firstLine="709"/>
        <w:jc w:val="both"/>
      </w:pPr>
      <w:r>
        <w:rPr>
          <w:rFonts w:ascii="Times New Roman" w:hAnsi="Times New Roman" w:eastAsia="Times New Roman"/>
          <w:b w:val="0"/>
          <w:sz w:val="24"/>
        </w:rPr>
        <w:t>7.4. A Party in breach of the Agreement compensates the other Party for direct, documented losses. Lost profits are not compensated. The total liability of each Party may not exceed the total amount of the Agreement.</w:t>
      </w:r>
    </w:p>
    <w:p>
      <w:pPr>
        <w:keepNext/>
        <w:spacing w:after="80" w:before="160"/>
        <w:jc w:val="center"/>
      </w:pPr>
      <w:r>
        <w:rPr>
          <w:rFonts w:ascii="Times New Roman" w:hAnsi="Times New Roman" w:eastAsia="Times New Roman"/>
          <w:b/>
          <w:sz w:val="24"/>
        </w:rPr>
        <w:t>8. FORCE MAJEURE</w:t>
      </w:r>
    </w:p>
    <w:p>
      <w:pPr>
        <w:spacing w:after="60" w:before="0"/>
        <w:ind w:firstLine="709"/>
        <w:jc w:val="both"/>
      </w:pPr>
      <w:r>
        <w:rPr>
          <w:rFonts w:ascii="Times New Roman" w:hAnsi="Times New Roman" w:eastAsia="Times New Roman"/>
          <w:b w:val="0"/>
          <w:sz w:val="24"/>
        </w:rPr>
        <w:t>8.1. The Parties are released from liability for non-performance of obligations if it results from circumstances of insuperable force (force majeure) certified by the Ukrainian Chamber of Commerce and Industry or a regional chamber authorized by it.</w:t>
      </w:r>
    </w:p>
    <w:p>
      <w:pPr>
        <w:spacing w:after="60" w:before="0"/>
        <w:ind w:firstLine="709"/>
        <w:jc w:val="both"/>
      </w:pPr>
      <w:r>
        <w:rPr>
          <w:rFonts w:ascii="Times New Roman" w:hAnsi="Times New Roman" w:eastAsia="Times New Roman"/>
          <w:b w:val="0"/>
          <w:sz w:val="24"/>
        </w:rPr>
        <w:t>8.2. A Party affected by such circumstances notifies the other Party within 10 (ten) calendar days from the date they arise.</w:t>
      </w:r>
    </w:p>
    <w:p>
      <w:pPr>
        <w:spacing w:after="60" w:before="0"/>
        <w:ind w:firstLine="709"/>
        <w:jc w:val="both"/>
      </w:pPr>
      <w:r>
        <w:rPr>
          <w:rFonts w:ascii="Times New Roman" w:hAnsi="Times New Roman" w:eastAsia="Times New Roman"/>
          <w:b w:val="0"/>
          <w:sz w:val="24"/>
        </w:rPr>
        <w:t>8.3. If force majeure circumstances last longer than 60 (sixty) calendar days, either Party may withdraw from the Agreement by notifying the other Party in writing.</w:t>
      </w:r>
    </w:p>
    <w:p>
      <w:pPr>
        <w:keepNext/>
        <w:spacing w:after="80" w:before="160"/>
        <w:jc w:val="center"/>
      </w:pPr>
      <w:r>
        <w:rPr>
          <w:rFonts w:ascii="Times New Roman" w:hAnsi="Times New Roman" w:eastAsia="Times New Roman"/>
          <w:b/>
          <w:sz w:val="24"/>
        </w:rPr>
        <w:t>9. TERM AND TERMINATION OF THE AGREEMENT</w:t>
      </w:r>
    </w:p>
    <w:p>
      <w:pPr>
        <w:spacing w:after="60" w:before="0"/>
        <w:ind w:firstLine="709"/>
        <w:jc w:val="both"/>
      </w:pPr>
      <w:r>
        <w:rPr>
          <w:rFonts w:ascii="Times New Roman" w:hAnsi="Times New Roman" w:eastAsia="Times New Roman"/>
          <w:b w:val="0"/>
          <w:sz w:val="24"/>
        </w:rPr>
        <w:t>9.1. The Agreement enters into force on the date the Parties sign it and remains in effect until December 31, 2026, and for obligations not yet performed, until they are performed in full.</w:t>
      </w:r>
    </w:p>
    <w:p>
      <w:pPr>
        <w:spacing w:after="60" w:before="0"/>
        <w:ind w:firstLine="709"/>
        <w:jc w:val="both"/>
      </w:pPr>
      <w:r>
        <w:rPr>
          <w:rFonts w:ascii="Times New Roman" w:hAnsi="Times New Roman" w:eastAsia="Times New Roman"/>
          <w:b w:val="0"/>
          <w:sz w:val="24"/>
        </w:rPr>
        <w:t>9.2. The Buyer may unilaterally withdraw from the Agreement if delivery is more than 30 (thirty) calendar days late. In that case the Supplier returns the advance payment received within 5 (five) banking days from the date it receives the notice of withdrawal.</w:t>
      </w:r>
    </w:p>
    <w:p>
      <w:pPr>
        <w:spacing w:after="60" w:before="0"/>
        <w:ind w:firstLine="709"/>
        <w:jc w:val="both"/>
      </w:pPr>
      <w:r>
        <w:rPr>
          <w:rFonts w:ascii="Times New Roman" w:hAnsi="Times New Roman" w:eastAsia="Times New Roman"/>
          <w:b w:val="0"/>
          <w:sz w:val="24"/>
        </w:rPr>
        <w:t>9.3. In other cases the Agreement may be amended or terminated by written agreement of the Parties.</w:t>
      </w:r>
    </w:p>
    <w:p>
      <w:pPr>
        <w:keepNext/>
        <w:spacing w:after="80" w:before="160"/>
        <w:jc w:val="center"/>
      </w:pPr>
      <w:r>
        <w:rPr>
          <w:rFonts w:ascii="Times New Roman" w:hAnsi="Times New Roman" w:eastAsia="Times New Roman"/>
          <w:b/>
          <w:sz w:val="24"/>
        </w:rPr>
        <w:t>10. DISPUTE RESOLUTION</w:t>
      </w:r>
    </w:p>
    <w:p>
      <w:pPr>
        <w:spacing w:after="60" w:before="0"/>
        <w:ind w:firstLine="709"/>
        <w:jc w:val="both"/>
      </w:pPr>
      <w:r>
        <w:rPr>
          <w:rFonts w:ascii="Times New Roman" w:hAnsi="Times New Roman" w:eastAsia="Times New Roman"/>
          <w:b w:val="0"/>
          <w:sz w:val="24"/>
        </w:rPr>
        <w:t>10.1. Disputes under the Agreement are resolved through negotiation. If no agreement is reached, the dispute is referred to a commercial court in accordance with the laws of Ukraine.</w:t>
      </w:r>
    </w:p>
    <w:p>
      <w:pPr>
        <w:spacing w:after="60" w:before="0"/>
        <w:ind w:firstLine="709"/>
        <w:jc w:val="both"/>
      </w:pPr>
      <w:r>
        <w:rPr>
          <w:rFonts w:ascii="Times New Roman" w:hAnsi="Times New Roman" w:eastAsia="Times New Roman"/>
          <w:b w:val="0"/>
          <w:sz w:val="24"/>
        </w:rPr>
        <w:t>10.2. The relations of the Parties under the Agreement are governed by the law of Ukraine.</w:t>
      </w:r>
    </w:p>
    <w:p>
      <w:pPr>
        <w:keepNext/>
        <w:spacing w:after="80" w:before="160"/>
        <w:jc w:val="center"/>
      </w:pPr>
      <w:r>
        <w:rPr>
          <w:rFonts w:ascii="Times New Roman" w:hAnsi="Times New Roman" w:eastAsia="Times New Roman"/>
          <w:b/>
          <w:sz w:val="24"/>
        </w:rPr>
        <w:t>11. NOTICES</w:t>
      </w:r>
    </w:p>
    <w:p>
      <w:pPr>
        <w:spacing w:after="60" w:before="0"/>
        <w:ind w:firstLine="709"/>
        <w:jc w:val="both"/>
      </w:pPr>
      <w:r>
        <w:rPr>
          <w:rFonts w:ascii="Times New Roman" w:hAnsi="Times New Roman" w:eastAsia="Times New Roman"/>
          <w:b w:val="0"/>
          <w:sz w:val="24"/>
        </w:rPr>
        <w:t>11.1. Notices under the Agreement are sent by registered mail to the Party’s registered address or as an electronic document with a qualified electronic signature through an electronic document management system.</w:t>
      </w:r>
    </w:p>
    <w:p>
      <w:pPr>
        <w:spacing w:after="60" w:before="0"/>
        <w:ind w:firstLine="709"/>
        <w:jc w:val="both"/>
      </w:pPr>
      <w:r>
        <w:rPr>
          <w:rFonts w:ascii="Times New Roman" w:hAnsi="Times New Roman" w:eastAsia="Times New Roman"/>
          <w:b w:val="0"/>
          <w:sz w:val="24"/>
        </w:rPr>
        <w:t>11.2. A Party notifies the other Party of any change in its details within 5 (five) working days.</w:t>
      </w:r>
    </w:p>
    <w:p>
      <w:pPr>
        <w:keepNext/>
        <w:spacing w:after="80" w:before="160"/>
        <w:jc w:val="center"/>
      </w:pPr>
      <w:r>
        <w:rPr>
          <w:rFonts w:ascii="Times New Roman" w:hAnsi="Times New Roman" w:eastAsia="Times New Roman"/>
          <w:b/>
          <w:sz w:val="24"/>
        </w:rPr>
        <w:t>12. OTHER TERMS</w:t>
      </w:r>
    </w:p>
    <w:p>
      <w:pPr>
        <w:spacing w:after="60" w:before="0"/>
        <w:ind w:firstLine="709"/>
        <w:jc w:val="both"/>
      </w:pPr>
      <w:r>
        <w:rPr>
          <w:rFonts w:ascii="Times New Roman" w:hAnsi="Times New Roman" w:eastAsia="Times New Roman"/>
          <w:b w:val="0"/>
          <w:sz w:val="24"/>
        </w:rPr>
        <w:t>12.1. The Parties are corporate income tax payers on general terms and VAT payers.</w:t>
      </w:r>
    </w:p>
    <w:p>
      <w:pPr>
        <w:spacing w:after="60" w:before="0"/>
        <w:ind w:firstLine="709"/>
        <w:jc w:val="both"/>
      </w:pPr>
      <w:r>
        <w:rPr>
          <w:rFonts w:ascii="Times New Roman" w:hAnsi="Times New Roman" w:eastAsia="Times New Roman"/>
          <w:b w:val="0"/>
          <w:sz w:val="24"/>
        </w:rPr>
        <w:t>12.2. The Agreement is made in two counterparts of equal legal force, one for each Party. The Parties may conclude the Agreement as an electronic document with a qualified electronic signature.</w:t>
      </w:r>
    </w:p>
    <w:p>
      <w:pPr>
        <w:spacing w:after="60" w:before="0"/>
        <w:ind w:firstLine="709"/>
        <w:jc w:val="both"/>
      </w:pPr>
      <w:r>
        <w:rPr>
          <w:rFonts w:ascii="Times New Roman" w:hAnsi="Times New Roman" w:eastAsia="Times New Roman"/>
          <w:b w:val="0"/>
          <w:sz w:val="24"/>
        </w:rPr>
        <w:t>12.3. All amendments and additions to the Agreement are valid if made in writing and signed by the Parties.</w:t>
      </w:r>
    </w:p>
    <w:p>
      <w:pPr>
        <w:keepNext/>
        <w:spacing w:after="80" w:before="160"/>
        <w:jc w:val="center"/>
      </w:pPr>
      <w:r>
        <w:rPr>
          <w:rFonts w:ascii="Times New Roman" w:hAnsi="Times New Roman" w:eastAsia="Times New Roman"/>
          <w:b/>
          <w:sz w:val="24"/>
        </w:rPr>
        <w:t>13. ADDRESSES, DETAILS AND SIGNATURES OF THE PARTIES</w:t>
      </w:r>
    </w:p>
    <w:tbl>
      <w:tblPr>
        <w:tblW w:type="auto" w:w="0"/>
        <w:tblLook w:firstColumn="1" w:firstRow="1" w:lastColumn="0" w:lastRow="0" w:noHBand="0" w:noVBand="1" w:val="04A0"/>
      </w:tblPr>
      <w:tblGrid>
        <w:gridCol w:w="4819"/>
        <w:gridCol w:w="4819"/>
      </w:tblGrid>
      <w:tr>
        <w:tc>
          <w:tcPr>
            <w:tcW w:type="dxa" w:w="4819"/>
          </w:tcPr>
          <w:p>
            <w:pPr>
              <w:jc w:val="center"/>
            </w:pPr>
            <w:r/>
            <w:r>
              <w:rPr>
                <w:rFonts w:ascii="Times New Roman" w:hAnsi="Times New Roman" w:eastAsia="Times New Roman"/>
                <w:b/>
                <w:sz w:val="22"/>
              </w:rPr>
              <w:t>SUPPLIER</w:t>
            </w:r>
          </w:p>
          <w:p>
            <w:pPr>
              <w:spacing w:after="20"/>
            </w:pPr>
            <w:r>
              <w:rPr>
                <w:rFonts w:ascii="Times New Roman" w:hAnsi="Times New Roman" w:eastAsia="Times New Roman"/>
                <w:b w:val="0"/>
                <w:sz w:val="22"/>
              </w:rPr>
              <w:t>SOSNOVYI BIR MEBLI LIMITED LIABILITY COMPANY</w:t>
            </w:r>
          </w:p>
          <w:p>
            <w:pPr>
              <w:spacing w:after="20"/>
            </w:pPr>
            <w:r>
              <w:rPr>
                <w:rFonts w:ascii="Times New Roman" w:hAnsi="Times New Roman" w:eastAsia="Times New Roman"/>
                <w:b w:val="0"/>
                <w:sz w:val="22"/>
              </w:rPr>
              <w:t>EDRPOU code 49583027</w:t>
            </w:r>
          </w:p>
          <w:p>
            <w:pPr>
              <w:spacing w:after="20"/>
            </w:pPr>
            <w:r>
              <w:rPr>
                <w:rFonts w:ascii="Times New Roman" w:hAnsi="Times New Roman" w:eastAsia="Times New Roman"/>
                <w:b w:val="0"/>
                <w:sz w:val="22"/>
              </w:rPr>
              <w:t>Address: 12 Promyslova St., Lviv, 79000</w:t>
            </w:r>
          </w:p>
          <w:p>
            <w:pPr>
              <w:spacing w:after="20"/>
            </w:pPr>
            <w:r>
              <w:rPr>
                <w:rFonts w:ascii="Times New Roman" w:hAnsi="Times New Roman" w:eastAsia="Times New Roman"/>
                <w:b w:val="0"/>
                <w:sz w:val="22"/>
              </w:rPr>
              <w:t>IBAN UA473253650000026004411200873</w:t>
            </w:r>
          </w:p>
          <w:p>
            <w:pPr>
              <w:spacing w:after="20"/>
            </w:pPr>
            <w:r>
              <w:rPr>
                <w:rFonts w:ascii="Times New Roman" w:hAnsi="Times New Roman" w:eastAsia="Times New Roman"/>
                <w:b w:val="0"/>
                <w:sz w:val="22"/>
              </w:rPr>
              <w:t>with JSC Kredobank</w:t>
            </w:r>
          </w:p>
          <w:p>
            <w:pPr>
              <w:spacing w:after="20"/>
            </w:pPr>
            <w:r>
              <w:rPr>
                <w:rFonts w:ascii="Times New Roman" w:hAnsi="Times New Roman" w:eastAsia="Times New Roman"/>
                <w:b w:val="0"/>
                <w:sz w:val="22"/>
              </w:rPr>
              <w:t>VAT payer on general terms</w:t>
            </w:r>
          </w:p>
          <w:p>
            <w:pPr>
              <w:spacing w:before="360"/>
            </w:pPr>
            <w:r>
              <w:rPr>
                <w:rFonts w:ascii="Times New Roman" w:hAnsi="Times New Roman" w:eastAsia="Times New Roman"/>
                <w:b w:val="0"/>
                <w:sz w:val="22"/>
              </w:rPr>
              <w:t>Director</w:t>
            </w:r>
          </w:p>
          <w:p>
            <w:r>
              <w:rPr>
                <w:rFonts w:ascii="Times New Roman" w:hAnsi="Times New Roman" w:eastAsia="Times New Roman"/>
                <w:b w:val="0"/>
                <w:sz w:val="22"/>
              </w:rPr>
              <w:t>_______________ / T. B. Oliinyk /</w:t>
            </w:r>
          </w:p>
        </w:tc>
        <w:tc>
          <w:tcPr>
            <w:tcW w:type="dxa" w:w="4819"/>
          </w:tcPr>
          <w:p>
            <w:pPr>
              <w:jc w:val="center"/>
            </w:pPr>
            <w:r/>
            <w:r>
              <w:rPr>
                <w:rFonts w:ascii="Times New Roman" w:hAnsi="Times New Roman" w:eastAsia="Times New Roman"/>
                <w:b/>
                <w:sz w:val="22"/>
              </w:rPr>
              <w:t>BUYER</w:t>
            </w:r>
          </w:p>
          <w:p>
            <w:pPr>
              <w:spacing w:after="20"/>
            </w:pPr>
            <w:r>
              <w:rPr>
                <w:rFonts w:ascii="Times New Roman" w:hAnsi="Times New Roman" w:eastAsia="Times New Roman"/>
                <w:b w:val="0"/>
                <w:sz w:val="22"/>
              </w:rPr>
              <w:t>LISOVYI DVIR LIMITED LIABILITY COMPANY</w:t>
            </w:r>
          </w:p>
          <w:p>
            <w:pPr>
              <w:spacing w:after="20"/>
            </w:pPr>
            <w:r>
              <w:rPr>
                <w:rFonts w:ascii="Times New Roman" w:hAnsi="Times New Roman" w:eastAsia="Times New Roman"/>
                <w:b w:val="0"/>
                <w:sz w:val="22"/>
              </w:rPr>
              <w:t>EDRPOU code 47918367</w:t>
            </w:r>
          </w:p>
          <w:p>
            <w:pPr>
              <w:spacing w:after="20"/>
            </w:pPr>
            <w:r>
              <w:rPr>
                <w:rFonts w:ascii="Times New Roman" w:hAnsi="Times New Roman" w:eastAsia="Times New Roman"/>
                <w:b w:val="0"/>
                <w:sz w:val="22"/>
              </w:rPr>
              <w:t>Address: 10 Khreshchatyk St., office 5, Kyiv, 01001</w:t>
            </w:r>
          </w:p>
          <w:p>
            <w:pPr>
              <w:spacing w:after="20"/>
            </w:pPr>
            <w:r>
              <w:rPr>
                <w:rFonts w:ascii="Times New Roman" w:hAnsi="Times New Roman" w:eastAsia="Times New Roman"/>
                <w:b w:val="0"/>
                <w:sz w:val="22"/>
              </w:rPr>
              <w:t>IBAN UA203052990000026007300955104</w:t>
            </w:r>
          </w:p>
          <w:p>
            <w:pPr>
              <w:spacing w:after="20"/>
            </w:pPr>
            <w:r>
              <w:rPr>
                <w:rFonts w:ascii="Times New Roman" w:hAnsi="Times New Roman" w:eastAsia="Times New Roman"/>
                <w:b w:val="0"/>
                <w:sz w:val="22"/>
              </w:rPr>
              <w:t>with JSC CB PRIVATBANK</w:t>
            </w:r>
          </w:p>
          <w:p>
            <w:pPr>
              <w:spacing w:after="20"/>
            </w:pPr>
            <w:r>
              <w:rPr>
                <w:rFonts w:ascii="Times New Roman" w:hAnsi="Times New Roman" w:eastAsia="Times New Roman"/>
                <w:b w:val="0"/>
                <w:sz w:val="22"/>
              </w:rPr>
              <w:t>VAT payer on general terms</w:t>
            </w:r>
          </w:p>
          <w:p>
            <w:pPr>
              <w:spacing w:before="360"/>
            </w:pPr>
            <w:r>
              <w:rPr>
                <w:rFonts w:ascii="Times New Roman" w:hAnsi="Times New Roman" w:eastAsia="Times New Roman"/>
                <w:b w:val="0"/>
                <w:sz w:val="22"/>
              </w:rPr>
              <w:t>Director</w:t>
            </w:r>
          </w:p>
          <w:p>
            <w:r>
              <w:rPr>
                <w:rFonts w:ascii="Times New Roman" w:hAnsi="Times New Roman" w:eastAsia="Times New Roman"/>
                <w:b w:val="0"/>
                <w:sz w:val="22"/>
              </w:rPr>
              <w:t>_______________ / O. P. Koval /</w:t>
            </w:r>
          </w:p>
        </w:tc>
      </w:tr>
    </w:tbl>
    <w:p>
      <w:r>
        <w:br w:type="page"/>
      </w:r>
    </w:p>
    <w:p>
      <w:pPr>
        <w:spacing w:after="0" w:before="0"/>
        <w:ind w:left="5953"/>
        <w:jc w:val="left"/>
      </w:pPr>
      <w:r>
        <w:rPr>
          <w:rFonts w:ascii="Times New Roman" w:hAnsi="Times New Roman" w:eastAsia="Times New Roman"/>
          <w:b w:val="0"/>
          <w:sz w:val="24"/>
        </w:rPr>
        <w:t>Annex No. 1</w:t>
      </w:r>
    </w:p>
    <w:p>
      <w:pPr>
        <w:spacing w:after="0" w:before="0"/>
        <w:ind w:left="5953"/>
        <w:jc w:val="left"/>
      </w:pPr>
      <w:r>
        <w:rPr>
          <w:rFonts w:ascii="Times New Roman" w:hAnsi="Times New Roman" w:eastAsia="Times New Roman"/>
          <w:b w:val="0"/>
          <w:sz w:val="24"/>
        </w:rPr>
        <w:t>to Supply Agreement No. SB-17/2026</w:t>
      </w:r>
    </w:p>
    <w:p>
      <w:pPr>
        <w:spacing w:after="0" w:before="0"/>
        <w:ind w:left="5953"/>
        <w:jc w:val="left"/>
      </w:pPr>
      <w:r>
        <w:rPr>
          <w:rFonts w:ascii="Times New Roman" w:hAnsi="Times New Roman" w:eastAsia="Times New Roman"/>
          <w:b w:val="0"/>
          <w:sz w:val="24"/>
        </w:rPr>
        <w:t>dated October 5, 2026</w:t>
      </w:r>
    </w:p>
    <w:p>
      <w:pPr>
        <w:spacing w:after="60" w:before="0"/>
        <w:jc w:val="both"/>
      </w:pPr>
      <w:r>
        <w:rPr>
          <w:rFonts w:ascii="Times New Roman" w:hAnsi="Times New Roman" w:eastAsia="Times New Roman"/>
          <w:b w:val="0"/>
          <w:sz w:val="24"/>
        </w:rPr>
      </w:r>
    </w:p>
    <w:p>
      <w:pPr>
        <w:spacing w:after="160" w:before="0"/>
        <w:jc w:val="center"/>
      </w:pPr>
      <w:r>
        <w:rPr>
          <w:rFonts w:ascii="Times New Roman" w:hAnsi="Times New Roman" w:eastAsia="Times New Roman"/>
          <w:b/>
          <w:sz w:val="26"/>
        </w:rPr>
        <w:t>SPECIFICATION</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c>
          <w:tcPr>
            <w:tcW w:type="dxa" w:w="454"/>
          </w:tcPr>
          <w:p>
            <w:pPr>
              <w:jc w:val="center"/>
            </w:pPr>
            <w:r>
              <w:rPr>
                <w:rFonts w:ascii="Times New Roman" w:hAnsi="Times New Roman" w:eastAsia="Times New Roman"/>
                <w:b/>
                <w:sz w:val="20"/>
              </w:rPr>
              <w:t>No.</w:t>
            </w:r>
          </w:p>
        </w:tc>
        <w:tc>
          <w:tcPr>
            <w:tcW w:type="dxa" w:w="4082"/>
          </w:tcPr>
          <w:p>
            <w:pPr>
              <w:jc w:val="center"/>
            </w:pPr>
            <w:r>
              <w:rPr>
                <w:rFonts w:ascii="Times New Roman" w:hAnsi="Times New Roman" w:eastAsia="Times New Roman"/>
                <w:b/>
                <w:sz w:val="20"/>
              </w:rPr>
              <w:t>Description of Goods</w:t>
            </w:r>
          </w:p>
        </w:tc>
        <w:tc>
          <w:tcPr>
            <w:tcW w:type="dxa" w:w="680"/>
          </w:tcPr>
          <w:p>
            <w:pPr>
              <w:jc w:val="center"/>
            </w:pPr>
            <w:r>
              <w:rPr>
                <w:rFonts w:ascii="Times New Roman" w:hAnsi="Times New Roman" w:eastAsia="Times New Roman"/>
                <w:b/>
                <w:sz w:val="20"/>
              </w:rPr>
              <w:t>Unit</w:t>
            </w:r>
          </w:p>
        </w:tc>
        <w:tc>
          <w:tcPr>
            <w:tcW w:type="dxa" w:w="737"/>
          </w:tcPr>
          <w:p>
            <w:pPr>
              <w:jc w:val="center"/>
            </w:pPr>
            <w:r>
              <w:rPr>
                <w:rFonts w:ascii="Times New Roman" w:hAnsi="Times New Roman" w:eastAsia="Times New Roman"/>
                <w:b/>
                <w:sz w:val="20"/>
              </w:rPr>
              <w:t>Qty</w:t>
            </w:r>
          </w:p>
        </w:tc>
        <w:tc>
          <w:tcPr>
            <w:tcW w:type="dxa" w:w="1417"/>
          </w:tcPr>
          <w:p>
            <w:pPr>
              <w:jc w:val="center"/>
            </w:pPr>
            <w:r>
              <w:rPr>
                <w:rFonts w:ascii="Times New Roman" w:hAnsi="Times New Roman" w:eastAsia="Times New Roman"/>
                <w:b/>
                <w:sz w:val="20"/>
              </w:rPr>
              <w:t>Price excl. VAT, UAH</w:t>
            </w:r>
          </w:p>
        </w:tc>
        <w:tc>
          <w:tcPr>
            <w:tcW w:type="dxa" w:w="1587"/>
          </w:tcPr>
          <w:p>
            <w:pPr>
              <w:jc w:val="center"/>
            </w:pPr>
            <w:r>
              <w:rPr>
                <w:rFonts w:ascii="Times New Roman" w:hAnsi="Times New Roman" w:eastAsia="Times New Roman"/>
                <w:b/>
                <w:sz w:val="20"/>
              </w:rPr>
              <w:t>Amount excl. VAT, UAH</w:t>
            </w:r>
          </w:p>
        </w:tc>
      </w:tr>
      <w:tr>
        <w:tc>
          <w:tcPr>
            <w:tcW w:type="dxa" w:w="454"/>
          </w:tcPr>
          <w:p>
            <w:pPr>
              <w:jc w:val="center"/>
            </w:pPr>
            <w:r>
              <w:rPr>
                <w:rFonts w:ascii="Times New Roman" w:hAnsi="Times New Roman" w:eastAsia="Times New Roman"/>
                <w:b w:val="0"/>
                <w:sz w:val="20"/>
              </w:rPr>
              <w:t>1</w:t>
            </w:r>
          </w:p>
        </w:tc>
        <w:tc>
          <w:tcPr>
            <w:tcW w:type="dxa" w:w="4082"/>
          </w:tcPr>
          <w:p>
            <w:pPr>
              <w:jc w:val="left"/>
            </w:pPr>
            <w:r>
              <w:rPr>
                <w:rFonts w:ascii="Times New Roman" w:hAnsi="Times New Roman" w:eastAsia="Times New Roman"/>
                <w:b w:val="0"/>
                <w:sz w:val="20"/>
              </w:rPr>
              <w:t>Meeting room chair, beech wood</w:t>
            </w:r>
          </w:p>
        </w:tc>
        <w:tc>
          <w:tcPr>
            <w:tcW w:type="dxa" w:w="680"/>
          </w:tcPr>
          <w:p>
            <w:pPr>
              <w:jc w:val="center"/>
            </w:pPr>
            <w:r>
              <w:rPr>
                <w:rFonts w:ascii="Times New Roman" w:hAnsi="Times New Roman" w:eastAsia="Times New Roman"/>
                <w:b w:val="0"/>
                <w:sz w:val="20"/>
              </w:rPr>
              <w:t>pcs</w:t>
            </w:r>
          </w:p>
        </w:tc>
        <w:tc>
          <w:tcPr>
            <w:tcW w:type="dxa" w:w="737"/>
          </w:tcPr>
          <w:p>
            <w:pPr>
              <w:jc w:val="center"/>
            </w:pPr>
            <w:r>
              <w:rPr>
                <w:rFonts w:ascii="Times New Roman" w:hAnsi="Times New Roman" w:eastAsia="Times New Roman"/>
                <w:b w:val="0"/>
                <w:sz w:val="20"/>
              </w:rPr>
              <w:t>24</w:t>
            </w:r>
          </w:p>
        </w:tc>
        <w:tc>
          <w:tcPr>
            <w:tcW w:type="dxa" w:w="1417"/>
          </w:tcPr>
          <w:p>
            <w:pPr>
              <w:jc w:val="right"/>
            </w:pPr>
            <w:r>
              <w:rPr>
                <w:rFonts w:ascii="Times New Roman" w:hAnsi="Times New Roman" w:eastAsia="Times New Roman"/>
                <w:b w:val="0"/>
                <w:sz w:val="20"/>
              </w:rPr>
              <w:t>2,850.00</w:t>
            </w:r>
          </w:p>
        </w:tc>
        <w:tc>
          <w:tcPr>
            <w:tcW w:type="dxa" w:w="1587"/>
          </w:tcPr>
          <w:p>
            <w:pPr>
              <w:jc w:val="right"/>
            </w:pPr>
            <w:r>
              <w:rPr>
                <w:rFonts w:ascii="Times New Roman" w:hAnsi="Times New Roman" w:eastAsia="Times New Roman"/>
                <w:b w:val="0"/>
                <w:sz w:val="20"/>
              </w:rPr>
              <w:t>68,400.00</w:t>
            </w:r>
          </w:p>
        </w:tc>
      </w:tr>
      <w:tr>
        <w:tc>
          <w:tcPr>
            <w:tcW w:type="dxa" w:w="454"/>
          </w:tcPr>
          <w:p>
            <w:pPr>
              <w:jc w:val="center"/>
            </w:pPr>
            <w:r>
              <w:rPr>
                <w:rFonts w:ascii="Times New Roman" w:hAnsi="Times New Roman" w:eastAsia="Times New Roman"/>
                <w:b w:val="0"/>
                <w:sz w:val="20"/>
              </w:rPr>
              <w:t>2</w:t>
            </w:r>
          </w:p>
        </w:tc>
        <w:tc>
          <w:tcPr>
            <w:tcW w:type="dxa" w:w="4082"/>
          </w:tcPr>
          <w:p>
            <w:pPr>
              <w:jc w:val="left"/>
            </w:pPr>
            <w:r>
              <w:rPr>
                <w:rFonts w:ascii="Times New Roman" w:hAnsi="Times New Roman" w:eastAsia="Times New Roman"/>
                <w:b w:val="0"/>
                <w:sz w:val="20"/>
              </w:rPr>
              <w:t>Meeting table 2400×1100 mm</w:t>
            </w:r>
          </w:p>
        </w:tc>
        <w:tc>
          <w:tcPr>
            <w:tcW w:type="dxa" w:w="680"/>
          </w:tcPr>
          <w:p>
            <w:pPr>
              <w:jc w:val="center"/>
            </w:pPr>
            <w:r>
              <w:rPr>
                <w:rFonts w:ascii="Times New Roman" w:hAnsi="Times New Roman" w:eastAsia="Times New Roman"/>
                <w:b w:val="0"/>
                <w:sz w:val="20"/>
              </w:rPr>
              <w:t>pcs</w:t>
            </w:r>
          </w:p>
        </w:tc>
        <w:tc>
          <w:tcPr>
            <w:tcW w:type="dxa" w:w="737"/>
          </w:tcPr>
          <w:p>
            <w:pPr>
              <w:jc w:val="center"/>
            </w:pPr>
            <w:r>
              <w:rPr>
                <w:rFonts w:ascii="Times New Roman" w:hAnsi="Times New Roman" w:eastAsia="Times New Roman"/>
                <w:b w:val="0"/>
                <w:sz w:val="20"/>
              </w:rPr>
              <w:t>2</w:t>
            </w:r>
          </w:p>
        </w:tc>
        <w:tc>
          <w:tcPr>
            <w:tcW w:type="dxa" w:w="1417"/>
          </w:tcPr>
          <w:p>
            <w:pPr>
              <w:jc w:val="right"/>
            </w:pPr>
            <w:r>
              <w:rPr>
                <w:rFonts w:ascii="Times New Roman" w:hAnsi="Times New Roman" w:eastAsia="Times New Roman"/>
                <w:b w:val="0"/>
                <w:sz w:val="20"/>
              </w:rPr>
              <w:t>18,700.00</w:t>
            </w:r>
          </w:p>
        </w:tc>
        <w:tc>
          <w:tcPr>
            <w:tcW w:type="dxa" w:w="1587"/>
          </w:tcPr>
          <w:p>
            <w:pPr>
              <w:jc w:val="right"/>
            </w:pPr>
            <w:r>
              <w:rPr>
                <w:rFonts w:ascii="Times New Roman" w:hAnsi="Times New Roman" w:eastAsia="Times New Roman"/>
                <w:b w:val="0"/>
                <w:sz w:val="20"/>
              </w:rPr>
              <w:t>37,400.00</w:t>
            </w:r>
          </w:p>
        </w:tc>
      </w:tr>
      <w:tr>
        <w:tc>
          <w:tcPr>
            <w:tcW w:type="dxa" w:w="454"/>
          </w:tcPr>
          <w:p>
            <w:pPr>
              <w:jc w:val="center"/>
            </w:pPr>
            <w:r>
              <w:rPr>
                <w:rFonts w:ascii="Times New Roman" w:hAnsi="Times New Roman" w:eastAsia="Times New Roman"/>
                <w:b w:val="0"/>
                <w:sz w:val="20"/>
              </w:rPr>
              <w:t>3</w:t>
            </w:r>
          </w:p>
        </w:tc>
        <w:tc>
          <w:tcPr>
            <w:tcW w:type="dxa" w:w="4082"/>
          </w:tcPr>
          <w:p>
            <w:pPr>
              <w:jc w:val="left"/>
            </w:pPr>
            <w:r>
              <w:rPr>
                <w:rFonts w:ascii="Times New Roman" w:hAnsi="Times New Roman" w:eastAsia="Times New Roman"/>
                <w:b w:val="0"/>
                <w:sz w:val="20"/>
              </w:rPr>
              <w:t>Open shelving unit for documents</w:t>
            </w:r>
          </w:p>
        </w:tc>
        <w:tc>
          <w:tcPr>
            <w:tcW w:type="dxa" w:w="680"/>
          </w:tcPr>
          <w:p>
            <w:pPr>
              <w:jc w:val="center"/>
            </w:pPr>
            <w:r>
              <w:rPr>
                <w:rFonts w:ascii="Times New Roman" w:hAnsi="Times New Roman" w:eastAsia="Times New Roman"/>
                <w:b w:val="0"/>
                <w:sz w:val="20"/>
              </w:rPr>
              <w:t>pcs</w:t>
            </w:r>
          </w:p>
        </w:tc>
        <w:tc>
          <w:tcPr>
            <w:tcW w:type="dxa" w:w="737"/>
          </w:tcPr>
          <w:p>
            <w:pPr>
              <w:jc w:val="center"/>
            </w:pPr>
            <w:r>
              <w:rPr>
                <w:rFonts w:ascii="Times New Roman" w:hAnsi="Times New Roman" w:eastAsia="Times New Roman"/>
                <w:b w:val="0"/>
                <w:sz w:val="20"/>
              </w:rPr>
              <w:t>6</w:t>
            </w:r>
          </w:p>
        </w:tc>
        <w:tc>
          <w:tcPr>
            <w:tcW w:type="dxa" w:w="1417"/>
          </w:tcPr>
          <w:p>
            <w:pPr>
              <w:jc w:val="right"/>
            </w:pPr>
            <w:r>
              <w:rPr>
                <w:rFonts w:ascii="Times New Roman" w:hAnsi="Times New Roman" w:eastAsia="Times New Roman"/>
                <w:b w:val="0"/>
                <w:sz w:val="20"/>
              </w:rPr>
              <w:t>4,150.00</w:t>
            </w:r>
          </w:p>
        </w:tc>
        <w:tc>
          <w:tcPr>
            <w:tcW w:type="dxa" w:w="1587"/>
          </w:tcPr>
          <w:p>
            <w:pPr>
              <w:jc w:val="right"/>
            </w:pPr>
            <w:r>
              <w:rPr>
                <w:rFonts w:ascii="Times New Roman" w:hAnsi="Times New Roman" w:eastAsia="Times New Roman"/>
                <w:b w:val="0"/>
                <w:sz w:val="20"/>
              </w:rPr>
              <w:t>24,900.00</w:t>
            </w:r>
          </w:p>
        </w:tc>
      </w:tr>
      <w:tr>
        <w:tc>
          <w:tcPr>
            <w:tcW w:type="dxa" w:w="1417"/>
            <w:gridSpan w:val="5"/>
          </w:tcPr>
          <w:p>
            <w:pPr>
              <w:jc w:val="right"/>
            </w:pPr>
            <w:r>
              <w:rPr>
                <w:rFonts w:ascii="Times New Roman" w:hAnsi="Times New Roman" w:eastAsia="Times New Roman"/>
                <w:b/>
                <w:sz w:val="20"/>
              </w:rPr>
              <w:t>Total excl. VAT</w:t>
            </w:r>
          </w:p>
        </w:tc>
        <w:tc>
          <w:tcPr>
            <w:tcW w:type="dxa" w:w="1587"/>
          </w:tcPr>
          <w:p>
            <w:pPr>
              <w:jc w:val="right"/>
            </w:pPr>
            <w:r>
              <w:rPr>
                <w:rFonts w:ascii="Times New Roman" w:hAnsi="Times New Roman" w:eastAsia="Times New Roman"/>
                <w:b/>
                <w:sz w:val="20"/>
              </w:rPr>
              <w:t>130,700.00</w:t>
            </w:r>
          </w:p>
        </w:tc>
      </w:tr>
      <w:tr>
        <w:tc>
          <w:tcPr>
            <w:tcW w:type="dxa" w:w="1417"/>
            <w:gridSpan w:val="5"/>
          </w:tcPr>
          <w:p>
            <w:pPr>
              <w:jc w:val="right"/>
            </w:pPr>
            <w:r>
              <w:rPr>
                <w:rFonts w:ascii="Times New Roman" w:hAnsi="Times New Roman" w:eastAsia="Times New Roman"/>
                <w:b/>
                <w:sz w:val="20"/>
              </w:rPr>
              <w:t>VAT 20%</w:t>
            </w:r>
          </w:p>
        </w:tc>
        <w:tc>
          <w:tcPr>
            <w:tcW w:type="dxa" w:w="1587"/>
          </w:tcPr>
          <w:p>
            <w:pPr>
              <w:jc w:val="right"/>
            </w:pPr>
            <w:r>
              <w:rPr>
                <w:rFonts w:ascii="Times New Roman" w:hAnsi="Times New Roman" w:eastAsia="Times New Roman"/>
                <w:b/>
                <w:sz w:val="20"/>
              </w:rPr>
              <w:t>26,140.00</w:t>
            </w:r>
          </w:p>
        </w:tc>
      </w:tr>
      <w:tr>
        <w:tc>
          <w:tcPr>
            <w:tcW w:type="dxa" w:w="1417"/>
            <w:gridSpan w:val="5"/>
          </w:tcPr>
          <w:p>
            <w:pPr>
              <w:jc w:val="right"/>
            </w:pPr>
            <w:r>
              <w:rPr>
                <w:rFonts w:ascii="Times New Roman" w:hAnsi="Times New Roman" w:eastAsia="Times New Roman"/>
                <w:b/>
                <w:sz w:val="20"/>
              </w:rPr>
              <w:t>Total incl. VAT</w:t>
            </w:r>
          </w:p>
        </w:tc>
        <w:tc>
          <w:tcPr>
            <w:tcW w:type="dxa" w:w="1587"/>
          </w:tcPr>
          <w:p>
            <w:pPr>
              <w:jc w:val="right"/>
            </w:pPr>
            <w:r>
              <w:rPr>
                <w:rFonts w:ascii="Times New Roman" w:hAnsi="Times New Roman" w:eastAsia="Times New Roman"/>
                <w:b/>
                <w:sz w:val="20"/>
              </w:rPr>
              <w:t>156,840.00</w:t>
            </w:r>
          </w:p>
        </w:tc>
      </w:tr>
    </w:tbl>
    <w:p>
      <w:pPr>
        <w:spacing w:after="60" w:before="0"/>
        <w:jc w:val="both"/>
      </w:pPr>
      <w:r>
        <w:rPr>
          <w:rFonts w:ascii="Times New Roman" w:hAnsi="Times New Roman" w:eastAsia="Times New Roman"/>
          <w:b w:val="0"/>
          <w:sz w:val="24"/>
        </w:rPr>
      </w:r>
    </w:p>
    <w:p>
      <w:pPr>
        <w:spacing w:after="60" w:before="0"/>
        <w:ind w:firstLine="709"/>
        <w:jc w:val="both"/>
      </w:pPr>
      <w:r>
        <w:rPr>
          <w:rFonts w:ascii="Times New Roman" w:hAnsi="Times New Roman" w:eastAsia="Times New Roman"/>
          <w:b w:val="0"/>
          <w:sz w:val="24"/>
        </w:rPr>
        <w:t>The total value of the Goods under this Specification is UAH 156,840.00 (one hundred fifty-six thousand eight hundred forty hryvnias 00 kopiykas), including 20% VAT of UAH 26,140.00 (twenty-six thousand one hundred forty hryvnias 00 kopiykas).</w:t>
      </w:r>
    </w:p>
    <w:p>
      <w:pPr>
        <w:spacing w:after="60" w:before="0"/>
        <w:ind w:firstLine="709"/>
        <w:jc w:val="both"/>
      </w:pPr>
      <w:r>
        <w:rPr>
          <w:rFonts w:ascii="Times New Roman" w:hAnsi="Times New Roman" w:eastAsia="Times New Roman"/>
          <w:b w:val="0"/>
          <w:sz w:val="24"/>
        </w:rPr>
        <w:t>Delivery time: within 21 (twenty-one) calendar days from the date the advance payment is received. Place of delivery: 10 Khreshchatyk St., Kyiv, 01001.</w:t>
      </w:r>
    </w:p>
    <w:tbl>
      <w:tblPr>
        <w:tblW w:type="auto" w:w="0"/>
        <w:tblLook w:firstColumn="1" w:firstRow="1" w:lastColumn="0" w:lastRow="0" w:noHBand="0" w:noVBand="1" w:val="04A0"/>
      </w:tblPr>
      <w:tblGrid>
        <w:gridCol w:w="4819"/>
        <w:gridCol w:w="4819"/>
      </w:tblGrid>
      <w:tr>
        <w:tc>
          <w:tcPr>
            <w:tcW w:type="dxa" w:w="4819"/>
          </w:tcPr>
          <w:p>
            <w:pPr>
              <w:jc w:val="center"/>
            </w:pPr>
            <w:r/>
            <w:r>
              <w:rPr>
                <w:rFonts w:ascii="Times New Roman" w:hAnsi="Times New Roman" w:eastAsia="Times New Roman"/>
                <w:b/>
                <w:sz w:val="22"/>
              </w:rPr>
              <w:t>SUPPLIER</w:t>
            </w:r>
          </w:p>
          <w:p>
            <w:pPr>
              <w:spacing w:after="20"/>
            </w:pPr>
            <w:r>
              <w:rPr>
                <w:rFonts w:ascii="Times New Roman" w:hAnsi="Times New Roman" w:eastAsia="Times New Roman"/>
                <w:b w:val="0"/>
                <w:sz w:val="22"/>
              </w:rPr>
              <w:t>SOSNOVYI BIR MEBLI LLC</w:t>
            </w:r>
          </w:p>
          <w:p>
            <w:pPr>
              <w:spacing w:before="360"/>
            </w:pPr>
            <w:r>
              <w:rPr>
                <w:rFonts w:ascii="Times New Roman" w:hAnsi="Times New Roman" w:eastAsia="Times New Roman"/>
                <w:b w:val="0"/>
                <w:sz w:val="22"/>
              </w:rPr>
              <w:t>Director</w:t>
            </w:r>
          </w:p>
          <w:p>
            <w:r>
              <w:rPr>
                <w:rFonts w:ascii="Times New Roman" w:hAnsi="Times New Roman" w:eastAsia="Times New Roman"/>
                <w:b w:val="0"/>
                <w:sz w:val="22"/>
              </w:rPr>
              <w:t>_______________ / T. B. Oliinyk /</w:t>
            </w:r>
          </w:p>
        </w:tc>
        <w:tc>
          <w:tcPr>
            <w:tcW w:type="dxa" w:w="4819"/>
          </w:tcPr>
          <w:p>
            <w:pPr>
              <w:jc w:val="center"/>
            </w:pPr>
            <w:r/>
            <w:r>
              <w:rPr>
                <w:rFonts w:ascii="Times New Roman" w:hAnsi="Times New Roman" w:eastAsia="Times New Roman"/>
                <w:b/>
                <w:sz w:val="22"/>
              </w:rPr>
              <w:t>BUYER</w:t>
            </w:r>
          </w:p>
          <w:p>
            <w:pPr>
              <w:spacing w:after="20"/>
            </w:pPr>
            <w:r>
              <w:rPr>
                <w:rFonts w:ascii="Times New Roman" w:hAnsi="Times New Roman" w:eastAsia="Times New Roman"/>
                <w:b w:val="0"/>
                <w:sz w:val="22"/>
              </w:rPr>
              <w:t>LISOVYI DVIR LLC</w:t>
            </w:r>
          </w:p>
          <w:p>
            <w:pPr>
              <w:spacing w:before="360"/>
            </w:pPr>
            <w:r>
              <w:rPr>
                <w:rFonts w:ascii="Times New Roman" w:hAnsi="Times New Roman" w:eastAsia="Times New Roman"/>
                <w:b w:val="0"/>
                <w:sz w:val="22"/>
              </w:rPr>
              <w:t>Director</w:t>
            </w:r>
          </w:p>
          <w:p>
            <w:r>
              <w:rPr>
                <w:rFonts w:ascii="Times New Roman" w:hAnsi="Times New Roman" w:eastAsia="Times New Roman"/>
                <w:b w:val="0"/>
                <w:sz w:val="22"/>
              </w:rPr>
              <w:t>_______________ / O. P. Koval /</w:t>
            </w:r>
          </w:p>
        </w:tc>
      </w:tr>
    </w:tbl>
    <w:sectPr w:rsidR="00FC693F" w:rsidRPr="0006063C" w:rsidSect="00034616">
      <w:footerReference w:type="default" r:id="rId9"/>
      <w:headerReference w:type="default" r:id="rId10"/>
      <w:pgSz w:w="11906" w:h="16838"/>
      <w:pgMar w:top="1020"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color w:val="666666"/>
        <w:sz w:val="14"/>
      </w:rPr>
      <w:t>SPECIMEN. Training sample for the Ukrainian Catholic University course “Digital Tools for Lawyers”. The deal is made up; names and codes of real companies are used only for an exercise in checking registers.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